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90"/>
        <w:tblW w:w="0" w:type="auto"/>
        <w:tblLook w:val="04A0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00C06743" w:rsidRPr="00C06743" w:rsidTr="00C06743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 w:rsidRPr="00C06743">
              <w:rPr>
                <w:rFonts w:ascii="Times New Roman" w:hAnsi="Times New Roman" w:cs="Times New Roman"/>
              </w:rPr>
              <w:t>№ отделения МРЭО ГИБДД УМВД России по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2018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2018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пострадавших</w:t>
            </w:r>
            <w:r>
              <w:rPr>
                <w:rFonts w:ascii="Times New Roman" w:hAnsi="Times New Roman" w:cs="Times New Roman"/>
              </w:rPr>
              <w:t xml:space="preserve"> в ДТП 2018 г.</w:t>
            </w:r>
          </w:p>
        </w:tc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 пострадавших </w:t>
            </w:r>
            <w:r>
              <w:rPr>
                <w:rFonts w:ascii="Times New Roman" w:hAnsi="Times New Roman" w:cs="Times New Roman"/>
              </w:rPr>
              <w:t xml:space="preserve"> в ДТП 2017 г.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1     (г. Брянск)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№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   (г. </w:t>
            </w:r>
            <w:r>
              <w:rPr>
                <w:rFonts w:ascii="Times New Roman" w:hAnsi="Times New Roman" w:cs="Times New Roman"/>
              </w:rPr>
              <w:t>Клинцы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№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    (г. </w:t>
            </w:r>
            <w:r>
              <w:rPr>
                <w:rFonts w:ascii="Times New Roman" w:hAnsi="Times New Roman" w:cs="Times New Roman"/>
              </w:rPr>
              <w:t>Трубчевск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06743" w:rsidRPr="00C06743" w:rsidTr="00CF0736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МРЭО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E93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C06743" w:rsidRPr="00C06743" w:rsidRDefault="00CF0736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81" w:type="dxa"/>
            <w:vAlign w:val="center"/>
          </w:tcPr>
          <w:p w:rsidR="00C06743" w:rsidRPr="00C06743" w:rsidRDefault="00E93693" w:rsidP="00CF0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743">
        <w:rPr>
          <w:rFonts w:ascii="Times New Roman" w:hAnsi="Times New Roman" w:cs="Times New Roman"/>
          <w:sz w:val="24"/>
          <w:szCs w:val="24"/>
        </w:rPr>
        <w:t>Статистика дорожно-транспортных происшествий</w:t>
      </w:r>
      <w:r>
        <w:rPr>
          <w:rFonts w:ascii="Times New Roman" w:hAnsi="Times New Roman" w:cs="Times New Roman"/>
          <w:sz w:val="24"/>
          <w:szCs w:val="24"/>
        </w:rPr>
        <w:t xml:space="preserve"> за первое полугодие 2018 года</w:t>
      </w:r>
      <w:r w:rsidRPr="00C06743">
        <w:rPr>
          <w:rFonts w:ascii="Times New Roman" w:hAnsi="Times New Roman" w:cs="Times New Roman"/>
          <w:sz w:val="24"/>
          <w:szCs w:val="24"/>
        </w:rPr>
        <w:t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Брянской области.</w:t>
      </w:r>
    </w:p>
    <w:p w:rsidR="00C06743" w:rsidRPr="00C06743" w:rsidRDefault="00C067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743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743"/>
    <w:rsid w:val="00003150"/>
    <w:rsid w:val="00065B42"/>
    <w:rsid w:val="00170270"/>
    <w:rsid w:val="002F7B24"/>
    <w:rsid w:val="003A4E6B"/>
    <w:rsid w:val="003A505F"/>
    <w:rsid w:val="00425329"/>
    <w:rsid w:val="00443AD6"/>
    <w:rsid w:val="005D62F8"/>
    <w:rsid w:val="006C1EA8"/>
    <w:rsid w:val="00757E07"/>
    <w:rsid w:val="00822161"/>
    <w:rsid w:val="00861398"/>
    <w:rsid w:val="008C42ED"/>
    <w:rsid w:val="009203E1"/>
    <w:rsid w:val="00A06F90"/>
    <w:rsid w:val="00AA2846"/>
    <w:rsid w:val="00AD593C"/>
    <w:rsid w:val="00B11894"/>
    <w:rsid w:val="00BB11C3"/>
    <w:rsid w:val="00C06743"/>
    <w:rsid w:val="00C81766"/>
    <w:rsid w:val="00CF0736"/>
    <w:rsid w:val="00E93693"/>
    <w:rsid w:val="00EA2E8A"/>
    <w:rsid w:val="00F6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1</cp:revision>
  <dcterms:created xsi:type="dcterms:W3CDTF">2018-07-21T08:57:00Z</dcterms:created>
  <dcterms:modified xsi:type="dcterms:W3CDTF">2018-07-21T09:25:00Z</dcterms:modified>
</cp:coreProperties>
</file>